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3A5F"/>
          <w:sz w:val="22"/>
        </w:rPr>
        <w:t xml:space="preserve">University Medical Center Freiburg · Clinic for Internal Medicine II</w:t>
      </w:r>
    </w:p>
    <w:p>
      <w:r>
        <w:rPr>
          <w:sz w:val="16"/>
        </w:rPr>
        <w:t>Hugstetter Straße 55 · 79106 Freiburg im Breisgau · Tel. 0761 270-0</w:t>
      </w:r>
    </w:p>
    <w:p>
      <w:r>
        <w:rPr>
          <w:b/>
          <w:sz w:val="26"/>
        </w:rPr>
        <w:t xml:space="preserve">MEDICAL DISCHARGE SUMMARY</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fill="EFEFEF"/>
          </w:tcPr>
          <w:p>
            <w:r>
              <w:rPr>
                <w:b/>
              </w:rPr>
              <w:t xml:space="preserve">Patient</w:t>
            </w:r>
          </w:p>
        </w:tc>
        <w:tc>
          <w:tcPr>
            <w:tcW w:type="dxa" w:w="2484"/>
          </w:tcPr>
          <w:p>
            <w:r>
              <w:t>Ostermann, Katharina</w:t>
            </w:r>
          </w:p>
        </w:tc>
        <w:tc>
          <w:tcPr>
            <w:tcW w:type="dxa" w:w="2484"/>
            <w:shd w:fill="EFEFEF"/>
          </w:tcPr>
          <w:p>
            <w:r>
              <w:rPr>
                <w:b/>
              </w:rPr>
              <w:t xml:space="preserve">Date of birth</w:t>
            </w:r>
          </w:p>
        </w:tc>
        <w:tc>
          <w:tcPr>
            <w:tcW w:type="dxa" w:w="2484"/>
          </w:tcPr>
          <w:p>
            <w:r>
              <w:t>14.07.1961</w:t>
            </w:r>
          </w:p>
        </w:tc>
      </w:tr>
      <w:tr>
        <w:tc>
          <w:tcPr>
            <w:tcW w:type="dxa" w:w="2484"/>
            <w:shd w:fill="EFEFEF"/>
          </w:tcPr>
          <w:p>
            <w:r>
              <w:rPr>
                <w:b/>
              </w:rPr>
              <w:t xml:space="preserve">Case number</w:t>
            </w:r>
          </w:p>
        </w:tc>
        <w:tc>
          <w:tcPr>
            <w:tcW w:type="dxa" w:w="2484"/>
          </w:tcPr>
          <w:p>
            <w:r>
              <w:t>2026-114-88231</w:t>
            </w:r>
          </w:p>
        </w:tc>
        <w:tc>
          <w:tcPr>
            <w:tcW w:type="dxa" w:w="2484"/>
            <w:shd w:fill="EFEFEF"/>
          </w:tcPr>
          <w:p>
            <w:r>
              <w:rPr>
                <w:b/>
              </w:rPr>
              <w:t xml:space="preserve">Insurance</w:t>
            </w:r>
          </w:p>
        </w:tc>
        <w:tc>
          <w:tcPr>
            <w:tcW w:type="dxa" w:w="2484"/>
          </w:tcPr>
          <w:p>
            <w:r>
              <w:t>AOK Baden-Württemberg</w:t>
            </w:r>
          </w:p>
        </w:tc>
      </w:tr>
      <w:tr>
        <w:tc>
          <w:tcPr>
            <w:tcW w:type="dxa" w:w="2484"/>
            <w:shd w:fill="EFEFEF"/>
          </w:tcPr>
          <w:p>
            <w:r>
              <w:rPr>
                <w:b/>
              </w:rPr>
              <w:t xml:space="preserve">Admission</w:t>
            </w:r>
          </w:p>
        </w:tc>
        <w:tc>
          <w:tcPr>
            <w:tcW w:type="dxa" w:w="2484"/>
          </w:tcPr>
          <w:p>
            <w:r>
              <w:t>21.08.2026</w:t>
            </w:r>
          </w:p>
        </w:tc>
        <w:tc>
          <w:tcPr>
            <w:tcW w:type="dxa" w:w="2484"/>
            <w:shd w:fill="EFEFEF"/>
          </w:tcPr>
          <w:p>
            <w:r>
              <w:rPr>
                <w:b/>
              </w:rPr>
              <w:t xml:space="preserve">Discharge</w:t>
            </w:r>
          </w:p>
        </w:tc>
        <w:tc>
          <w:tcPr>
            <w:tcW w:type="dxa" w:w="2484"/>
          </w:tcPr>
          <w:p>
            <w:r>
              <w:t>02.09.2026</w:t>
            </w:r>
          </w:p>
        </w:tc>
      </w:tr>
      <w:tr>
        <w:tc>
          <w:tcPr>
            <w:tcW w:type="dxa" w:w="2484"/>
            <w:shd w:fill="EFEFEF"/>
          </w:tcPr>
          <w:p>
            <w:r>
              <w:rPr>
                <w:b/>
              </w:rPr>
              <w:t xml:space="preserve">Ward</w:t>
            </w:r>
          </w:p>
        </w:tc>
        <w:tc>
          <w:tcPr>
            <w:tcW w:type="dxa" w:w="2484"/>
          </w:tcPr>
          <w:p>
            <w:r>
              <w:t xml:space="preserve">Cardiology 3B</w:t>
            </w:r>
          </w:p>
        </w:tc>
        <w:tc>
          <w:tcPr>
            <w:tcW w:type="dxa" w:w="2484"/>
            <w:shd w:fill="EFEFEF"/>
          </w:tcPr>
          <w:p>
            <w:r>
              <w:rPr>
                <w:b/>
              </w:rPr>
              <w:t xml:space="preserve">Attending physician</w:t>
            </w:r>
          </w:p>
        </w:tc>
        <w:tc>
          <w:tcPr>
            <w:tcW w:type="dxa" w:w="2484"/>
          </w:tcPr>
          <w:p>
            <w:r>
              <w:t xml:space="preserve">Senior Physician Dr. med. T. Reinhardt</w:t>
            </w:r>
          </w:p>
        </w:tc>
      </w:tr>
    </w:tbl>
    <w:p>
      <w:r>
        <w:rPr>
          <w:b/>
          <w:color w:val="1F3A5F"/>
        </w:rPr>
        <w:t xml:space="preserve">Diagnoses</w:t>
      </w:r>
    </w:p>
    <w:p>
      <w:pPr>
        <w:spacing w:after="40"/>
        <w:ind w:left="288"/>
      </w:pPr>
      <w:r>
        <w:t xml:space="preserve">• Non-ST-elevation myocardial infarction (NSTEMI) with three-vessel coronary artery disease (I21.4)</w:t>
      </w:r>
    </w:p>
    <w:p>
      <w:pPr>
        <w:spacing w:after="40"/>
        <w:ind w:left="288"/>
      </w:pPr>
      <w:r>
        <w:t xml:space="preserve">• Arterial hypertension, medically managed (I10.90)</w:t>
      </w:r>
    </w:p>
    <w:p>
      <w:pPr>
        <w:spacing w:after="40"/>
        <w:ind w:left="288"/>
      </w:pPr>
      <w:r>
        <w:t xml:space="preserve">• Type 2 diabetes mellitus with peripheral polyneuropathy (E11.40)</w:t>
      </w:r>
    </w:p>
    <w:p>
      <w:pPr>
        <w:spacing w:after="40"/>
        <w:ind w:left="288"/>
      </w:pPr>
      <w:r>
        <w:t xml:space="preserve">• Chronic kidney disease stage G3a (N18.3)</w:t>
      </w:r>
    </w:p>
    <w:p>
      <w:r>
        <w:rPr>
          <w:b/>
          <w:color w:val="1F3A5F"/>
        </w:rPr>
        <w:t xml:space="preserve">Medical history</w:t>
      </w:r>
    </w:p>
    <w:p>
      <w:pPr>
        <w:spacing w:after="40"/>
        <w:ind w:left="288"/>
      </w:pPr>
      <w:r>
        <w:t xml:space="preserve">The 65-year-old patient was admitted as an emergency via the Central Emergency Department due to retrosternal pressure radiating to the left arm, which had persisted since the previous evening, accompanied by dyspnea (NYHA III). Known history includes long-standing arterial hypertension and insulin-dependent diabetes mellitus. Nicotine use is denied; family history is positive for cardiovascular events (father, myocardial infarction at age 58).</w:t>
      </w:r>
    </w:p>
    <w:p>
      <w:r>
        <w:rPr>
          <w:b/>
          <w:color w:val="1F3A5F"/>
        </w:rPr>
        <w:t xml:space="preserve">Findings</w:t>
      </w:r>
    </w:p>
    <w:p>
      <w:pPr>
        <w:spacing w:after="40"/>
        <w:ind w:left="288"/>
      </w:pPr>
      <w:r>
        <w:t xml:space="preserve">ECG on admission: Sinus rhythm, 92/min, descending ST-segment depressions in V4–V6.</w:t>
      </w:r>
    </w:p>
    <w:p>
      <w:pPr>
        <w:spacing w:after="40"/>
        <w:ind w:left="288"/>
      </w:pPr>
      <w:r>
        <w:t xml:space="preserve">Laboratory: hs-troponin T 412 ng/l (normal &lt; 14), CK 289 U/l, creatinine 1.42 mg/dl, eGFR 48 ml/min, HbA1c 7.8 %.</w:t>
      </w:r>
    </w:p>
    <w:p>
      <w:pPr>
        <w:spacing w:after="40"/>
        <w:ind w:left="288"/>
      </w:pPr>
      <w:r>
        <w:t xml:space="preserve">Echocardiography: reduced left ventricular function (EF 45 %), hypokinesia of the posterior wall, no relevant valvular defects.</w:t>
      </w:r>
    </w:p>
    <w:p>
      <w:pPr>
        <w:spacing w:after="40"/>
        <w:ind w:left="288"/>
      </w:pPr>
      <w:r>
        <w:t xml:space="preserve">Coronary angiography from 22.08.2026: 80% stenosis of the RCA in the middle segment, 60% stenosis of the RIVA; successful PCI with implantation of a drug-eluting stent in the RCA.</w:t>
      </w:r>
    </w:p>
    <w:p>
      <w:r>
        <w:rPr>
          <w:b/>
          <w:color w:val="1F3A5F"/>
        </w:rPr>
        <w:t xml:space="preserve">Therapy and clinical course</w:t>
      </w:r>
    </w:p>
    <w:p>
      <w:pPr>
        <w:spacing w:after="40"/>
        <w:ind w:left="288"/>
      </w:pPr>
      <w:r>
        <w:t xml:space="preserve">Following interventional treatment, the clinical course was uncomplicated. Dual antiplatelet therapy was initiated and will be continued for twelve months. With adjustment of antihypertensive medication, blood pressure values stabilized within the target range. The patient was discharged on 02.09.2026 in improved general condition for continued outpatient cardiological care.</w:t>
      </w:r>
    </w:p>
    <w:p>
      <w:r>
        <w:rPr>
          <w:b/>
          <w:color w:val="1F3A5F"/>
        </w:rPr>
        <w:t xml:space="preserve">Discharge medication</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fill="EFEFEF"/>
          </w:tcPr>
          <w:p>
            <w:r>
              <w:rPr>
                <w:b/>
              </w:rPr>
              <w:t xml:space="preserve">Active ingredient</w:t>
            </w:r>
          </w:p>
        </w:tc>
        <w:tc>
          <w:tcPr>
            <w:tcW w:type="dxa" w:w="2484"/>
            <w:shd w:fill="EFEFEF"/>
          </w:tcPr>
          <w:p>
            <w:r>
              <w:rPr>
                <w:b/>
              </w:rPr>
              <w:t xml:space="preserve">Preparation</w:t>
            </w:r>
          </w:p>
        </w:tc>
        <w:tc>
          <w:tcPr>
            <w:tcW w:type="dxa" w:w="2484"/>
            <w:shd w:fill="EFEFEF"/>
          </w:tcPr>
          <w:p>
            <w:r>
              <w:rPr>
                <w:b/>
              </w:rPr>
              <w:t xml:space="preserve">Dosage</w:t>
            </w:r>
          </w:p>
        </w:tc>
        <w:tc>
          <w:tcPr>
            <w:tcW w:type="dxa" w:w="2484"/>
            <w:shd w:fill="EFEFEF"/>
          </w:tcPr>
          <w:p>
            <w:r>
              <w:rPr>
                <w:b/>
              </w:rPr>
              <w:t xml:space="preserve">Administration</w:t>
            </w:r>
          </w:p>
        </w:tc>
      </w:tr>
      <w:tr>
        <w:tc>
          <w:tcPr>
            <w:tcW w:type="dxa" w:w="2484"/>
          </w:tcPr>
          <w:p>
            <w:r>
              <w:t xml:space="preserve">Acetylsalicylic acid</w:t>
            </w:r>
          </w:p>
        </w:tc>
        <w:tc>
          <w:tcPr>
            <w:tcW w:type="dxa" w:w="2484"/>
          </w:tcPr>
          <w:p>
            <w:r>
              <w:t>ASS 100</w:t>
            </w:r>
          </w:p>
        </w:tc>
        <w:tc>
          <w:tcPr>
            <w:tcW w:type="dxa" w:w="2484"/>
          </w:tcPr>
          <w:p>
            <w:r>
              <w:t>100 mg</w:t>
            </w:r>
          </w:p>
        </w:tc>
        <w:tc>
          <w:tcPr>
            <w:tcW w:type="dxa" w:w="2484"/>
          </w:tcPr>
          <w:p>
            <w:r>
              <w:t xml:space="preserve">1-0-0, long-term</w:t>
            </w:r>
          </w:p>
        </w:tc>
      </w:tr>
      <w:tr>
        <w:tc>
          <w:tcPr>
            <w:tcW w:type="dxa" w:w="2484"/>
          </w:tcPr>
          <w:p>
            <w:r>
              <w:t>Ticagrelor</w:t>
            </w:r>
          </w:p>
        </w:tc>
        <w:tc>
          <w:tcPr>
            <w:tcW w:type="dxa" w:w="2484"/>
          </w:tcPr>
          <w:p>
            <w:r>
              <w:t>Brilique</w:t>
            </w:r>
          </w:p>
        </w:tc>
        <w:tc>
          <w:tcPr>
            <w:tcW w:type="dxa" w:w="2484"/>
          </w:tcPr>
          <w:p>
            <w:r>
              <w:t>90 mg</w:t>
            </w:r>
          </w:p>
        </w:tc>
        <w:tc>
          <w:tcPr>
            <w:tcW w:type="dxa" w:w="2484"/>
          </w:tcPr>
          <w:p>
            <w:r>
              <w:t xml:space="preserve">1-0-1, for 12 months</w:t>
            </w:r>
          </w:p>
        </w:tc>
      </w:tr>
      <w:tr>
        <w:tc>
          <w:tcPr>
            <w:tcW w:type="dxa" w:w="2484"/>
          </w:tcPr>
          <w:p>
            <w:r>
              <w:t>Atorvastatin</w:t>
            </w:r>
          </w:p>
        </w:tc>
        <w:tc>
          <w:tcPr>
            <w:tcW w:type="dxa" w:w="2484"/>
          </w:tcPr>
          <w:p>
            <w:r>
              <w:t>Sortis</w:t>
            </w:r>
          </w:p>
        </w:tc>
        <w:tc>
          <w:tcPr>
            <w:tcW w:type="dxa" w:w="2484"/>
          </w:tcPr>
          <w:p>
            <w:r>
              <w:t>40 mg</w:t>
            </w:r>
          </w:p>
        </w:tc>
        <w:tc>
          <w:tcPr>
            <w:tcW w:type="dxa" w:w="2484"/>
          </w:tcPr>
          <w:p>
            <w:r>
              <w:t>0-0-1</w:t>
            </w:r>
          </w:p>
        </w:tc>
      </w:tr>
      <w:tr>
        <w:tc>
          <w:tcPr>
            <w:tcW w:type="dxa" w:w="2484"/>
          </w:tcPr>
          <w:p>
            <w:r>
              <w:t>Bisoprolol</w:t>
            </w:r>
          </w:p>
        </w:tc>
        <w:tc>
          <w:tcPr>
            <w:tcW w:type="dxa" w:w="2484"/>
          </w:tcPr>
          <w:p>
            <w:r>
              <w:t>Concor</w:t>
            </w:r>
          </w:p>
        </w:tc>
        <w:tc>
          <w:tcPr>
            <w:tcW w:type="dxa" w:w="2484"/>
          </w:tcPr>
          <w:p>
            <w:r>
              <w:t>5 mg</w:t>
            </w:r>
          </w:p>
        </w:tc>
        <w:tc>
          <w:tcPr>
            <w:tcW w:type="dxa" w:w="2484"/>
          </w:tcPr>
          <w:p>
            <w:r>
              <w:t>1-0-0</w:t>
            </w:r>
          </w:p>
        </w:tc>
      </w:tr>
      <w:tr>
        <w:tc>
          <w:tcPr>
            <w:tcW w:type="dxa" w:w="2484"/>
          </w:tcPr>
          <w:p>
            <w:r>
              <w:t>Ramipril</w:t>
            </w:r>
          </w:p>
        </w:tc>
        <w:tc>
          <w:tcPr>
            <w:tcW w:type="dxa" w:w="2484"/>
          </w:tcPr>
          <w:p>
            <w:r>
              <w:t>Delix</w:t>
            </w:r>
          </w:p>
        </w:tc>
        <w:tc>
          <w:tcPr>
            <w:tcW w:type="dxa" w:w="2484"/>
          </w:tcPr>
          <w:p>
            <w:r>
              <w:t>5 mg</w:t>
            </w:r>
          </w:p>
        </w:tc>
        <w:tc>
          <w:tcPr>
            <w:tcW w:type="dxa" w:w="2484"/>
          </w:tcPr>
          <w:p>
            <w:r>
              <w:t>1-0-0</w:t>
            </w:r>
          </w:p>
        </w:tc>
      </w:tr>
      <w:tr>
        <w:tc>
          <w:tcPr>
            <w:tcW w:type="dxa" w:w="2484"/>
          </w:tcPr>
          <w:p>
            <w:r>
              <w:t>Metformin</w:t>
            </w:r>
          </w:p>
        </w:tc>
        <w:tc>
          <w:tcPr>
            <w:tcW w:type="dxa" w:w="2484"/>
          </w:tcPr>
          <w:p>
            <w:r>
              <w:t>Siofor</w:t>
            </w:r>
          </w:p>
        </w:tc>
        <w:tc>
          <w:tcPr>
            <w:tcW w:type="dxa" w:w="2484"/>
          </w:tcPr>
          <w:p>
            <w:r>
              <w:t>1000 mg</w:t>
            </w:r>
          </w:p>
        </w:tc>
        <w:tc>
          <w:tcPr>
            <w:tcW w:type="dxa" w:w="2484"/>
          </w:tcPr>
          <w:p>
            <w:r>
              <w:t xml:space="preserve">1-0-1, pause before contrast administration</w:t>
            </w:r>
          </w:p>
        </w:tc>
      </w:tr>
    </w:tbl>
    <w:p/>
    <w:p>
      <w:r>
        <w:t xml:space="preserve">With kind regards</w:t>
        <w:br/>
        <w:br/>
        <w:br/>
        <w:t xml:space="preserve">OA Dr. med. T. Reinhardt                    Prof. Dr. med. H. Wallner</w:t>
        <w:br/>
        <w:t xml:space="preserve">Senior Physician Cardiology                        Medical Director</w:t>
      </w:r>
    </w:p>
    <w:sectPr w:rsidR="00FC693F" w:rsidRPr="0006063C" w:rsidSect="00034616">
      <w:footerReference w:type="default" r:id="rId9"/>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Discharge summary · Case number 2026-114-88231 · Page 1 of 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