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F3A5F"/>
          <w:sz w:val="22"/>
        </w:rPr>
        <w:t>Universitätsklinikum Freiburg · Klinik für Innere Medizin II</w:t>
      </w:r>
    </w:p>
    <w:p>
      <w:r>
        <w:rPr>
          <w:sz w:val="16"/>
        </w:rPr>
        <w:t>Hugstetter Straße 55 · 79106 Freiburg im Breisgau · Tel. 0761 270-0</w:t>
      </w:r>
    </w:p>
    <w:p>
      <w:r>
        <w:rPr>
          <w:b/>
          <w:sz w:val="26"/>
        </w:rPr>
        <w:t>ÄRZTLICHER ENTLASSUNGSBRIEF</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fill="EFEFEF"/>
          </w:tcPr>
          <w:p>
            <w:r>
              <w:rPr>
                <w:b/>
              </w:rPr>
              <w:t>Patient/in</w:t>
            </w:r>
          </w:p>
        </w:tc>
        <w:tc>
          <w:tcPr>
            <w:tcW w:type="dxa" w:w="2484"/>
          </w:tcPr>
          <w:p>
            <w:r>
              <w:t>Ostermann, Katharina</w:t>
            </w:r>
          </w:p>
        </w:tc>
        <w:tc>
          <w:tcPr>
            <w:tcW w:type="dxa" w:w="2484"/>
            <w:shd w:fill="EFEFEF"/>
          </w:tcPr>
          <w:p>
            <w:r>
              <w:rPr>
                <w:b/>
              </w:rPr>
              <w:t>Geburtsdatum</w:t>
            </w:r>
          </w:p>
        </w:tc>
        <w:tc>
          <w:tcPr>
            <w:tcW w:type="dxa" w:w="2484"/>
          </w:tcPr>
          <w:p>
            <w:r>
              <w:t>14.07.1961</w:t>
            </w:r>
          </w:p>
        </w:tc>
      </w:tr>
      <w:tr>
        <w:tc>
          <w:tcPr>
            <w:tcW w:type="dxa" w:w="2484"/>
            <w:shd w:fill="EFEFEF"/>
          </w:tcPr>
          <w:p>
            <w:r>
              <w:rPr>
                <w:b/>
              </w:rPr>
              <w:t>Fallnummer</w:t>
            </w:r>
          </w:p>
        </w:tc>
        <w:tc>
          <w:tcPr>
            <w:tcW w:type="dxa" w:w="2484"/>
          </w:tcPr>
          <w:p>
            <w:r>
              <w:t>2026-114-88231</w:t>
            </w:r>
          </w:p>
        </w:tc>
        <w:tc>
          <w:tcPr>
            <w:tcW w:type="dxa" w:w="2484"/>
            <w:shd w:fill="EFEFEF"/>
          </w:tcPr>
          <w:p>
            <w:r>
              <w:rPr>
                <w:b/>
              </w:rPr>
              <w:t>Versicherung</w:t>
            </w:r>
          </w:p>
        </w:tc>
        <w:tc>
          <w:tcPr>
            <w:tcW w:type="dxa" w:w="2484"/>
          </w:tcPr>
          <w:p>
            <w:r>
              <w:t>AOK Baden-Württemberg</w:t>
            </w:r>
          </w:p>
        </w:tc>
      </w:tr>
      <w:tr>
        <w:tc>
          <w:tcPr>
            <w:tcW w:type="dxa" w:w="2484"/>
            <w:shd w:fill="EFEFEF"/>
          </w:tcPr>
          <w:p>
            <w:r>
              <w:rPr>
                <w:b/>
              </w:rPr>
              <w:t>Aufnahme</w:t>
            </w:r>
          </w:p>
        </w:tc>
        <w:tc>
          <w:tcPr>
            <w:tcW w:type="dxa" w:w="2484"/>
          </w:tcPr>
          <w:p>
            <w:r>
              <w:t>21.08.2026</w:t>
            </w:r>
          </w:p>
        </w:tc>
        <w:tc>
          <w:tcPr>
            <w:tcW w:type="dxa" w:w="2484"/>
            <w:shd w:fill="EFEFEF"/>
          </w:tcPr>
          <w:p>
            <w:r>
              <w:rPr>
                <w:b/>
              </w:rPr>
              <w:t>Entlassung</w:t>
            </w:r>
          </w:p>
        </w:tc>
        <w:tc>
          <w:tcPr>
            <w:tcW w:type="dxa" w:w="2484"/>
          </w:tcPr>
          <w:p>
            <w:r>
              <w:t>02.09.2026</w:t>
            </w:r>
          </w:p>
        </w:tc>
      </w:tr>
      <w:tr>
        <w:tc>
          <w:tcPr>
            <w:tcW w:type="dxa" w:w="2484"/>
            <w:shd w:fill="EFEFEF"/>
          </w:tcPr>
          <w:p>
            <w:r>
              <w:rPr>
                <w:b/>
              </w:rPr>
              <w:t>Station</w:t>
            </w:r>
          </w:p>
        </w:tc>
        <w:tc>
          <w:tcPr>
            <w:tcW w:type="dxa" w:w="2484"/>
          </w:tcPr>
          <w:p>
            <w:r>
              <w:t>Kardiologie 3B</w:t>
            </w:r>
          </w:p>
        </w:tc>
        <w:tc>
          <w:tcPr>
            <w:tcW w:type="dxa" w:w="2484"/>
            <w:shd w:fill="EFEFEF"/>
          </w:tcPr>
          <w:p>
            <w:r>
              <w:rPr>
                <w:b/>
              </w:rPr>
              <w:t>Behandelnder Arzt</w:t>
            </w:r>
          </w:p>
        </w:tc>
        <w:tc>
          <w:tcPr>
            <w:tcW w:type="dxa" w:w="2484"/>
          </w:tcPr>
          <w:p>
            <w:r>
              <w:t>OA Dr. med. T. Reinhardt</w:t>
            </w:r>
          </w:p>
        </w:tc>
      </w:tr>
    </w:tbl>
    <w:p>
      <w:r>
        <w:rPr>
          <w:b/>
          <w:color w:val="1F3A5F"/>
        </w:rPr>
        <w:t>Diagnosen</w:t>
      </w:r>
    </w:p>
    <w:p>
      <w:pPr>
        <w:spacing w:after="40"/>
        <w:ind w:left="288"/>
      </w:pPr>
      <w:r>
        <w:t>• Nicht-ST-Hebungsinfarkt (NSTEMI) bei koronarer Dreigefäßerkrankung (I21.4)</w:t>
      </w:r>
    </w:p>
    <w:p>
      <w:pPr>
        <w:spacing w:after="40"/>
        <w:ind w:left="288"/>
      </w:pPr>
      <w:r>
        <w:t>• Arterielle Hypertonie, medikamentös eingestellt (I10.90)</w:t>
      </w:r>
    </w:p>
    <w:p>
      <w:pPr>
        <w:spacing w:after="40"/>
        <w:ind w:left="288"/>
      </w:pPr>
      <w:r>
        <w:t>• Diabetes mellitus Typ 2 mit peripherer Polyneuropathie (E11.40)</w:t>
      </w:r>
    </w:p>
    <w:p>
      <w:pPr>
        <w:spacing w:after="40"/>
        <w:ind w:left="288"/>
      </w:pPr>
      <w:r>
        <w:t>• Chronische Niereninsuffizienz Stadium G3a (N18.3)</w:t>
      </w:r>
    </w:p>
    <w:p>
      <w:r>
        <w:rPr>
          <w:b/>
          <w:color w:val="1F3A5F"/>
        </w:rPr>
        <w:t>Anamnese</w:t>
      </w:r>
    </w:p>
    <w:p>
      <w:pPr>
        <w:spacing w:after="40"/>
        <w:ind w:left="288"/>
      </w:pPr>
      <w:r>
        <w:t>Die stationäre Aufnahme der 65-jährigen Patientin erfolgte notfallmäßig über die Zentrale Notaufnahme bei seit dem Vorabend bestehendem retrosternalem Druckgefühl mit Ausstrahlung in den linken Arm sowie begleitender Dyspnoe (NYHA III). Vorbekannt sind ein langjähriger arterieller Hypertonus und ein insulinpflichtiger Diabetes mellitus. Nikotinkonsum wird verneint; die Familienanamnese ist positiv für kardiovaskuläre Ereignisse (Vater, Myokardinfarkt im 58. Lebensjahr).</w:t>
      </w:r>
    </w:p>
    <w:p>
      <w:r>
        <w:rPr>
          <w:b/>
          <w:color w:val="1F3A5F"/>
        </w:rPr>
        <w:t>Befunde</w:t>
      </w:r>
    </w:p>
    <w:p>
      <w:pPr>
        <w:spacing w:after="40"/>
        <w:ind w:left="288"/>
      </w:pPr>
      <w:r>
        <w:t>EKG bei Aufnahme: Sinusrhythmus, 92/min, deszendierende ST-Streckensenkungen in V4–V6.</w:t>
      </w:r>
    </w:p>
    <w:p>
      <w:pPr>
        <w:spacing w:after="40"/>
        <w:ind w:left="288"/>
      </w:pPr>
      <w:r>
        <w:t>Labor: hs-Troponin T 412 ng/l (Norm &lt; 14), CK 289 U/l, Kreatinin 1,42 mg/dl, eGFR 48 ml/min, HbA1c 7,8 %.</w:t>
      </w:r>
    </w:p>
    <w:p>
      <w:pPr>
        <w:spacing w:after="40"/>
        <w:ind w:left="288"/>
      </w:pPr>
      <w:r>
        <w:t>Echokardiographie: eingeschränkte linksventrikuläre Funktion (EF 45 %), Hypokinesie der Hinterwand, keine relevanten Klappenvitien.</w:t>
      </w:r>
    </w:p>
    <w:p>
      <w:pPr>
        <w:spacing w:after="40"/>
        <w:ind w:left="288"/>
      </w:pPr>
      <w:r>
        <w:t>Koronarangiographie vom 22.08.2026: 80-prozentige Stenose der RCA im mittleren Segment, 60-prozentige Stenose des RIVA; erfolgreiche PCI mit Implantation eines medikamentenbeschichteten Stents in die RCA.</w:t>
      </w:r>
    </w:p>
    <w:p>
      <w:r>
        <w:rPr>
          <w:b/>
          <w:color w:val="1F3A5F"/>
        </w:rPr>
        <w:t>Therapie und Verlauf</w:t>
      </w:r>
    </w:p>
    <w:p>
      <w:pPr>
        <w:spacing w:after="40"/>
        <w:ind w:left="288"/>
      </w:pPr>
      <w:r>
        <w:t>Nach interventioneller Versorgung zeigte sich ein komplikationsloser Verlauf. Die duale Thrombozytenaggregationshemmung wurde begonnen und wird für zwölf Monate fortgeführt. Unter Anpassung der antihypertensiven Medikation stabilisierten sich die Blutdruckwerte im Zielbereich. Die Patientin wurde am 02.09.2026 in gebessertem Allgemeinzustand in die ambulante kardiologische Weiterbetreuung entlassen.</w:t>
      </w:r>
    </w:p>
    <w:p>
      <w:r>
        <w:rPr>
          <w:b/>
          <w:color w:val="1F3A5F"/>
        </w:rPr>
        <w:t>Entlassungsmedikation</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fill="EFEFEF"/>
          </w:tcPr>
          <w:p>
            <w:r>
              <w:rPr>
                <w:b/>
              </w:rPr>
              <w:t>Wirkstoff</w:t>
            </w:r>
          </w:p>
        </w:tc>
        <w:tc>
          <w:tcPr>
            <w:tcW w:type="dxa" w:w="2484"/>
            <w:shd w:fill="EFEFEF"/>
          </w:tcPr>
          <w:p>
            <w:r>
              <w:rPr>
                <w:b/>
              </w:rPr>
              <w:t>Präparat</w:t>
            </w:r>
          </w:p>
        </w:tc>
        <w:tc>
          <w:tcPr>
            <w:tcW w:type="dxa" w:w="2484"/>
            <w:shd w:fill="EFEFEF"/>
          </w:tcPr>
          <w:p>
            <w:r>
              <w:rPr>
                <w:b/>
              </w:rPr>
              <w:t>Dosierung</w:t>
            </w:r>
          </w:p>
        </w:tc>
        <w:tc>
          <w:tcPr>
            <w:tcW w:type="dxa" w:w="2484"/>
            <w:shd w:fill="EFEFEF"/>
          </w:tcPr>
          <w:p>
            <w:r>
              <w:rPr>
                <w:b/>
              </w:rPr>
              <w:t>Einnahme</w:t>
            </w:r>
          </w:p>
        </w:tc>
      </w:tr>
      <w:tr>
        <w:tc>
          <w:tcPr>
            <w:tcW w:type="dxa" w:w="2484"/>
          </w:tcPr>
          <w:p>
            <w:r>
              <w:t>Acetylsalicylsäure</w:t>
            </w:r>
          </w:p>
        </w:tc>
        <w:tc>
          <w:tcPr>
            <w:tcW w:type="dxa" w:w="2484"/>
          </w:tcPr>
          <w:p>
            <w:r>
              <w:t>ASS 100</w:t>
            </w:r>
          </w:p>
        </w:tc>
        <w:tc>
          <w:tcPr>
            <w:tcW w:type="dxa" w:w="2484"/>
          </w:tcPr>
          <w:p>
            <w:r>
              <w:t>100 mg</w:t>
            </w:r>
          </w:p>
        </w:tc>
        <w:tc>
          <w:tcPr>
            <w:tcW w:type="dxa" w:w="2484"/>
          </w:tcPr>
          <w:p>
            <w:r>
              <w:t>1-0-0, dauerhaft</w:t>
            </w:r>
          </w:p>
        </w:tc>
      </w:tr>
      <w:tr>
        <w:tc>
          <w:tcPr>
            <w:tcW w:type="dxa" w:w="2484"/>
          </w:tcPr>
          <w:p>
            <w:r>
              <w:t>Ticagrelor</w:t>
            </w:r>
          </w:p>
        </w:tc>
        <w:tc>
          <w:tcPr>
            <w:tcW w:type="dxa" w:w="2484"/>
          </w:tcPr>
          <w:p>
            <w:r>
              <w:t>Brilique</w:t>
            </w:r>
          </w:p>
        </w:tc>
        <w:tc>
          <w:tcPr>
            <w:tcW w:type="dxa" w:w="2484"/>
          </w:tcPr>
          <w:p>
            <w:r>
              <w:t>90 mg</w:t>
            </w:r>
          </w:p>
        </w:tc>
        <w:tc>
          <w:tcPr>
            <w:tcW w:type="dxa" w:w="2484"/>
          </w:tcPr>
          <w:p>
            <w:r>
              <w:t>1-0-1, für 12 Monate</w:t>
            </w:r>
          </w:p>
        </w:tc>
      </w:tr>
      <w:tr>
        <w:tc>
          <w:tcPr>
            <w:tcW w:type="dxa" w:w="2484"/>
          </w:tcPr>
          <w:p>
            <w:r>
              <w:t>Atorvastatin</w:t>
            </w:r>
          </w:p>
        </w:tc>
        <w:tc>
          <w:tcPr>
            <w:tcW w:type="dxa" w:w="2484"/>
          </w:tcPr>
          <w:p>
            <w:r>
              <w:t>Sortis</w:t>
            </w:r>
          </w:p>
        </w:tc>
        <w:tc>
          <w:tcPr>
            <w:tcW w:type="dxa" w:w="2484"/>
          </w:tcPr>
          <w:p>
            <w:r>
              <w:t>40 mg</w:t>
            </w:r>
          </w:p>
        </w:tc>
        <w:tc>
          <w:tcPr>
            <w:tcW w:type="dxa" w:w="2484"/>
          </w:tcPr>
          <w:p>
            <w:r>
              <w:t>0-0-1</w:t>
            </w:r>
          </w:p>
        </w:tc>
      </w:tr>
      <w:tr>
        <w:tc>
          <w:tcPr>
            <w:tcW w:type="dxa" w:w="2484"/>
          </w:tcPr>
          <w:p>
            <w:r>
              <w:t>Bisoprolol</w:t>
            </w:r>
          </w:p>
        </w:tc>
        <w:tc>
          <w:tcPr>
            <w:tcW w:type="dxa" w:w="2484"/>
          </w:tcPr>
          <w:p>
            <w:r>
              <w:t>Concor</w:t>
            </w:r>
          </w:p>
        </w:tc>
        <w:tc>
          <w:tcPr>
            <w:tcW w:type="dxa" w:w="2484"/>
          </w:tcPr>
          <w:p>
            <w:r>
              <w:t>5 mg</w:t>
            </w:r>
          </w:p>
        </w:tc>
        <w:tc>
          <w:tcPr>
            <w:tcW w:type="dxa" w:w="2484"/>
          </w:tcPr>
          <w:p>
            <w:r>
              <w:t>1-0-0</w:t>
            </w:r>
          </w:p>
        </w:tc>
      </w:tr>
      <w:tr>
        <w:tc>
          <w:tcPr>
            <w:tcW w:type="dxa" w:w="2484"/>
          </w:tcPr>
          <w:p>
            <w:r>
              <w:t>Ramipril</w:t>
            </w:r>
          </w:p>
        </w:tc>
        <w:tc>
          <w:tcPr>
            <w:tcW w:type="dxa" w:w="2484"/>
          </w:tcPr>
          <w:p>
            <w:r>
              <w:t>Delix</w:t>
            </w:r>
          </w:p>
        </w:tc>
        <w:tc>
          <w:tcPr>
            <w:tcW w:type="dxa" w:w="2484"/>
          </w:tcPr>
          <w:p>
            <w:r>
              <w:t>5 mg</w:t>
            </w:r>
          </w:p>
        </w:tc>
        <w:tc>
          <w:tcPr>
            <w:tcW w:type="dxa" w:w="2484"/>
          </w:tcPr>
          <w:p>
            <w:r>
              <w:t>1-0-0</w:t>
            </w:r>
          </w:p>
        </w:tc>
      </w:tr>
      <w:tr>
        <w:tc>
          <w:tcPr>
            <w:tcW w:type="dxa" w:w="2484"/>
          </w:tcPr>
          <w:p>
            <w:r>
              <w:t>Metformin</w:t>
            </w:r>
          </w:p>
        </w:tc>
        <w:tc>
          <w:tcPr>
            <w:tcW w:type="dxa" w:w="2484"/>
          </w:tcPr>
          <w:p>
            <w:r>
              <w:t>Siofor</w:t>
            </w:r>
          </w:p>
        </w:tc>
        <w:tc>
          <w:tcPr>
            <w:tcW w:type="dxa" w:w="2484"/>
          </w:tcPr>
          <w:p>
            <w:r>
              <w:t>1000 mg</w:t>
            </w:r>
          </w:p>
        </w:tc>
        <w:tc>
          <w:tcPr>
            <w:tcW w:type="dxa" w:w="2484"/>
          </w:tcPr>
          <w:p>
            <w:r>
              <w:t>1-0-1, Pause vor Kontrastmittelgabe</w:t>
            </w:r>
          </w:p>
        </w:tc>
      </w:tr>
    </w:tbl>
    <w:p/>
    <w:p>
      <w:r>
        <w:t>Mit freundlichen kollegialen Grüßen</w:t>
        <w:br/>
        <w:br/>
        <w:br/>
        <w:t>OA Dr. med. T. Reinhardt                    Prof. Dr. med. H. Wallner</w:t>
        <w:br/>
        <w:t>Oberarzt Kardiologie                        Ärztlicher Direktor</w:t>
      </w:r>
    </w:p>
    <w:sectPr w:rsidR="00FC693F" w:rsidRPr="0006063C" w:rsidSect="00034616">
      <w:footerReference w:type="default" r:id="rId9"/>
      <w:pgSz w:w="12240" w:h="15840"/>
      <w:pgMar w:top="1440" w:right="1152"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Entlassungsbrief · Fallnummer 2026-114-88231 · Seite 1 von 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